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C6C" w14:textId="77777777" w:rsidR="0004588B" w:rsidRPr="00E7551D" w:rsidRDefault="0004588B" w:rsidP="00050893">
      <w:pPr>
        <w:spacing w:after="0" w:line="24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13D84F" wp14:editId="28DD1943">
            <wp:simplePos x="0" y="0"/>
            <wp:positionH relativeFrom="margin">
              <wp:posOffset>8255</wp:posOffset>
            </wp:positionH>
            <wp:positionV relativeFrom="margin">
              <wp:posOffset>-129540</wp:posOffset>
            </wp:positionV>
            <wp:extent cx="990600" cy="1028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clerk_seal_final_B&amp;W-Circuit-(Large-Vector)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0F2F">
        <w:rPr>
          <w:rFonts w:ascii="Californian FB" w:hAnsi="Californian FB"/>
          <w:color w:val="0F243E"/>
          <w:kern w:val="0"/>
          <w:sz w:val="52"/>
        </w:rPr>
        <w:t>Do</w:t>
      </w:r>
      <w:r w:rsidR="00665A7E">
        <w:rPr>
          <w:rFonts w:ascii="Californian FB" w:hAnsi="Californian FB"/>
          <w:color w:val="0F243E"/>
          <w:kern w:val="0"/>
          <w:sz w:val="52"/>
        </w:rPr>
        <w:t>ug</w:t>
      </w:r>
      <w:r w:rsidRPr="00020F2F">
        <w:rPr>
          <w:rFonts w:ascii="Californian FB" w:hAnsi="Californian FB"/>
          <w:color w:val="0F243E"/>
          <w:kern w:val="0"/>
          <w:sz w:val="52"/>
        </w:rPr>
        <w:t xml:space="preserve"> </w:t>
      </w:r>
      <w:r w:rsidR="00665A7E">
        <w:rPr>
          <w:rFonts w:ascii="Californian FB" w:hAnsi="Californian FB"/>
          <w:color w:val="0F243E"/>
          <w:kern w:val="0"/>
          <w:sz w:val="52"/>
        </w:rPr>
        <w:t>Chorvat</w:t>
      </w:r>
      <w:r>
        <w:rPr>
          <w:rFonts w:ascii="Californian FB" w:hAnsi="Californian FB"/>
          <w:color w:val="0F243E"/>
          <w:kern w:val="0"/>
          <w:sz w:val="52"/>
        </w:rPr>
        <w:t>,</w:t>
      </w:r>
      <w:r w:rsidRPr="00020F2F">
        <w:rPr>
          <w:rFonts w:ascii="Californian FB" w:hAnsi="Californian FB"/>
          <w:color w:val="0F243E"/>
          <w:kern w:val="0"/>
          <w:sz w:val="52"/>
        </w:rPr>
        <w:t xml:space="preserve"> Jr</w:t>
      </w:r>
      <w:r w:rsidRPr="00020F2F">
        <w:rPr>
          <w:rFonts w:ascii="Californian FB" w:hAnsi="Californian FB"/>
          <w:color w:val="0F243E"/>
          <w:sz w:val="52"/>
        </w:rPr>
        <w:t>.</w:t>
      </w:r>
      <w:r w:rsidR="002C3AFD">
        <w:rPr>
          <w:rFonts w:ascii="Californian FB" w:hAnsi="Californian FB"/>
          <w:color w:val="0F243E"/>
          <w:sz w:val="52"/>
        </w:rPr>
        <w:t xml:space="preserve">                                                  </w:t>
      </w:r>
      <w:r w:rsidRPr="00E7551D">
        <w:rPr>
          <w:rFonts w:ascii="Californian FB" w:hAnsi="Californian FB"/>
          <w:b/>
          <w:sz w:val="24"/>
          <w:szCs w:val="24"/>
        </w:rPr>
        <w:br/>
      </w:r>
      <w:r w:rsidRPr="00E7551D">
        <w:rPr>
          <w:rFonts w:ascii="Californian FB" w:hAnsi="Californian FB" w:cstheme="minorHAnsi"/>
          <w:color w:val="0F243E"/>
          <w:sz w:val="24"/>
          <w:szCs w:val="24"/>
        </w:rPr>
        <w:t xml:space="preserve">Clerk of Circuit Court &amp; Comptroller - Hernando County </w:t>
      </w:r>
      <w:r w:rsidRPr="00E7551D">
        <w:rPr>
          <w:rFonts w:ascii="Californian FB" w:hAnsi="Californian FB" w:cstheme="minorHAnsi"/>
          <w:color w:val="0F243E"/>
          <w:sz w:val="24"/>
          <w:szCs w:val="24"/>
        </w:rPr>
        <w:br/>
        <w:t xml:space="preserve">20 N. Main Street, Brooksville, FL </w:t>
      </w:r>
      <w:proofErr w:type="gramStart"/>
      <w:r w:rsidRPr="00E7551D">
        <w:rPr>
          <w:rFonts w:ascii="Californian FB" w:hAnsi="Californian FB" w:cstheme="minorHAnsi"/>
          <w:color w:val="0F243E"/>
          <w:sz w:val="24"/>
          <w:szCs w:val="24"/>
        </w:rPr>
        <w:t>34601  -</w:t>
      </w:r>
      <w:proofErr w:type="gramEnd"/>
      <w:r w:rsidRPr="00E7551D">
        <w:rPr>
          <w:rFonts w:ascii="Californian FB" w:hAnsi="Californian FB" w:cstheme="minorHAnsi"/>
          <w:color w:val="0F243E"/>
          <w:sz w:val="24"/>
          <w:szCs w:val="24"/>
        </w:rPr>
        <w:t xml:space="preserve">  (352) 754-4201</w:t>
      </w:r>
    </w:p>
    <w:p w14:paraId="146D8569" w14:textId="77777777" w:rsidR="00D97E76" w:rsidRPr="00E7551D" w:rsidRDefault="0004588B" w:rsidP="000508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noProof/>
          <w:color w:val="244061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DE493" wp14:editId="52869A7E">
                <wp:simplePos x="0" y="0"/>
                <wp:positionH relativeFrom="column">
                  <wp:posOffset>-12488</wp:posOffset>
                </wp:positionH>
                <wp:positionV relativeFrom="paragraph">
                  <wp:posOffset>135890</wp:posOffset>
                </wp:positionV>
                <wp:extent cx="45720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F243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9270F8" id="Straight Connector 1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0.7pt" to="35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" strokecolor="#0f243e" strokeweight="1.5pt"/>
            </w:pict>
          </mc:Fallback>
        </mc:AlternateContent>
      </w:r>
    </w:p>
    <w:p w14:paraId="48A3CF75" w14:textId="77777777" w:rsidR="002A753C" w:rsidRDefault="002A753C" w:rsidP="00050893">
      <w:pPr>
        <w:tabs>
          <w:tab w:val="center" w:pos="46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F5A8BD4" w14:textId="7C461D40" w:rsidR="002A753C" w:rsidRPr="002A753C" w:rsidRDefault="00336602" w:rsidP="00336602">
      <w:pPr>
        <w:tabs>
          <w:tab w:val="left" w:pos="1390"/>
          <w:tab w:val="center" w:pos="4968"/>
        </w:tabs>
        <w:spacing w:line="240" w:lineRule="auto"/>
        <w:rPr>
          <w:rFonts w:cstheme="minorHAnsi"/>
          <w:kern w:val="0"/>
          <w:sz w:val="36"/>
          <w:szCs w:val="36"/>
          <w14:ligatures w14:val="none"/>
        </w:rPr>
      </w:pPr>
      <w:r>
        <w:rPr>
          <w:rFonts w:cstheme="minorHAnsi"/>
          <w:kern w:val="0"/>
          <w:sz w:val="36"/>
          <w:szCs w:val="36"/>
          <w14:ligatures w14:val="none"/>
        </w:rPr>
        <w:tab/>
        <w:t xml:space="preserve">       </w:t>
      </w:r>
      <w:r w:rsidR="002A753C" w:rsidRPr="002A753C">
        <w:rPr>
          <w:rFonts w:cstheme="minorHAnsi"/>
          <w:kern w:val="0"/>
          <w:sz w:val="36"/>
          <w:szCs w:val="36"/>
          <w14:ligatures w14:val="none"/>
        </w:rPr>
        <w:t>20</w:t>
      </w:r>
      <w:r w:rsidR="003928EF">
        <w:rPr>
          <w:rFonts w:cstheme="minorHAnsi"/>
          <w:kern w:val="0"/>
          <w:sz w:val="36"/>
          <w:szCs w:val="36"/>
          <w14:ligatures w14:val="none"/>
        </w:rPr>
        <w:t>2</w:t>
      </w:r>
      <w:r w:rsidR="00A03DA9">
        <w:rPr>
          <w:rFonts w:cstheme="minorHAnsi"/>
          <w:kern w:val="0"/>
          <w:sz w:val="36"/>
          <w:szCs w:val="36"/>
          <w14:ligatures w14:val="none"/>
        </w:rPr>
        <w:t>5</w:t>
      </w:r>
      <w:r>
        <w:rPr>
          <w:rFonts w:cstheme="minorHAnsi"/>
          <w:kern w:val="0"/>
          <w:sz w:val="36"/>
          <w:szCs w:val="36"/>
          <w14:ligatures w14:val="none"/>
        </w:rPr>
        <w:t>-202</w:t>
      </w:r>
      <w:r w:rsidR="00A03DA9">
        <w:rPr>
          <w:rFonts w:cstheme="minorHAnsi"/>
          <w:kern w:val="0"/>
          <w:sz w:val="36"/>
          <w:szCs w:val="36"/>
          <w14:ligatures w14:val="none"/>
        </w:rPr>
        <w:t>6</w:t>
      </w:r>
      <w:r w:rsidR="003928EF">
        <w:rPr>
          <w:rFonts w:cstheme="minorHAnsi"/>
          <w:kern w:val="0"/>
          <w:sz w:val="36"/>
          <w:szCs w:val="36"/>
          <w14:ligatures w14:val="none"/>
        </w:rPr>
        <w:t xml:space="preserve"> </w:t>
      </w:r>
      <w:r w:rsidR="002A753C" w:rsidRPr="002A753C">
        <w:rPr>
          <w:rFonts w:cstheme="minorHAnsi"/>
          <w:kern w:val="0"/>
          <w:sz w:val="36"/>
          <w:szCs w:val="36"/>
          <w14:ligatures w14:val="none"/>
        </w:rPr>
        <w:t>Operating Budget</w:t>
      </w:r>
      <w:bookmarkStart w:id="0" w:name="_Hlk21085056"/>
      <w:r w:rsidR="00085E95" w:rsidRPr="002A753C">
        <w:rPr>
          <w:rFonts w:ascii="Californian FB" w:hAnsi="Californian FB"/>
          <w:color w:val="0F243E"/>
        </w:rPr>
        <w:t xml:space="preserve"> </w:t>
      </w:r>
      <w:bookmarkEnd w:id="0"/>
      <w:r w:rsidR="00085E95">
        <w:rPr>
          <w:rFonts w:ascii="Californian FB" w:hAnsi="Californian FB"/>
          <w:color w:val="0F243E"/>
          <w:sz w:val="52"/>
        </w:rPr>
        <w:t xml:space="preserve"> </w:t>
      </w:r>
    </w:p>
    <w:p w14:paraId="5FB31310" w14:textId="77777777" w:rsidR="002A753C" w:rsidRPr="002C1177" w:rsidRDefault="002A753C" w:rsidP="002A753C">
      <w:pPr>
        <w:spacing w:after="200" w:line="240" w:lineRule="auto"/>
        <w:rPr>
          <w:rFonts w:cstheme="minorHAnsi"/>
          <w:kern w:val="0"/>
          <w:sz w:val="24"/>
          <w:szCs w:val="24"/>
          <w14:ligatures w14:val="none"/>
        </w:rPr>
      </w:pPr>
      <w:r w:rsidRPr="002C1177">
        <w:rPr>
          <w:rFonts w:cstheme="minorHAnsi"/>
          <w:kern w:val="0"/>
          <w:sz w:val="24"/>
          <w:szCs w:val="24"/>
          <w14:ligatures w14:val="none"/>
        </w:rPr>
        <w:t>Court Related Operations</w:t>
      </w:r>
      <w:r w:rsidRPr="002C1177">
        <w:rPr>
          <w:rStyle w:val="FootnoteReference"/>
          <w:rFonts w:cstheme="minorHAnsi"/>
          <w:kern w:val="0"/>
          <w:sz w:val="24"/>
          <w:szCs w:val="24"/>
          <w14:ligatures w14:val="none"/>
        </w:rPr>
        <w:footnoteReference w:id="1"/>
      </w:r>
    </w:p>
    <w:p w14:paraId="73EF3EDA" w14:textId="77777777" w:rsidR="002A753C" w:rsidRPr="002A753C" w:rsidRDefault="002A753C" w:rsidP="002A753C">
      <w:pPr>
        <w:spacing w:after="0" w:line="276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14:ligatures w14:val="none"/>
        </w:rPr>
        <w:tab/>
      </w:r>
      <w:r w:rsidRPr="002A753C">
        <w:rPr>
          <w:rFonts w:cstheme="minorHAnsi"/>
          <w:b/>
          <w:kern w:val="0"/>
          <w:sz w:val="24"/>
          <w:szCs w:val="24"/>
          <w14:ligatures w14:val="none"/>
        </w:rPr>
        <w:t>Revenue</w:t>
      </w:r>
    </w:p>
    <w:p w14:paraId="3C4B1C91" w14:textId="745AAF82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Budget Authority from CCOC</w:t>
      </w:r>
      <w:bookmarkStart w:id="1" w:name="_Hlk526753325"/>
      <w:r w:rsidRPr="002A753C">
        <w:rPr>
          <w:rFonts w:cstheme="minorHAnsi"/>
          <w:kern w:val="0"/>
          <w:sz w:val="24"/>
          <w:szCs w:val="24"/>
          <w:vertAlign w:val="superscript"/>
          <w14:ligatures w14:val="none"/>
        </w:rPr>
        <w:footnoteReference w:id="2"/>
      </w:r>
      <w:bookmarkEnd w:id="1"/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</w:t>
      </w:r>
      <w:r w:rsidR="00381948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2A753C">
        <w:rPr>
          <w:rFonts w:cstheme="minorHAnsi"/>
          <w:kern w:val="0"/>
          <w:sz w:val="24"/>
          <w:szCs w:val="24"/>
          <w14:ligatures w14:val="none"/>
        </w:rPr>
        <w:t>$</w:t>
      </w:r>
      <w:r w:rsidR="00FD621F">
        <w:rPr>
          <w:rFonts w:cstheme="minorHAnsi"/>
          <w:kern w:val="0"/>
          <w:sz w:val="24"/>
          <w:szCs w:val="24"/>
          <w14:ligatures w14:val="none"/>
        </w:rPr>
        <w:t>4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5B6138">
        <w:rPr>
          <w:rFonts w:cstheme="minorHAnsi"/>
          <w:kern w:val="0"/>
          <w:sz w:val="24"/>
          <w:szCs w:val="24"/>
          <w14:ligatures w14:val="none"/>
        </w:rPr>
        <w:t>159</w:t>
      </w:r>
      <w:r w:rsidR="00272080">
        <w:rPr>
          <w:rFonts w:cstheme="minorHAnsi"/>
          <w:kern w:val="0"/>
          <w:sz w:val="24"/>
          <w:szCs w:val="24"/>
          <w14:ligatures w14:val="none"/>
        </w:rPr>
        <w:t>,</w:t>
      </w:r>
      <w:r w:rsidR="005B6138">
        <w:rPr>
          <w:rFonts w:cstheme="minorHAnsi"/>
          <w:kern w:val="0"/>
          <w:sz w:val="24"/>
          <w:szCs w:val="24"/>
          <w14:ligatures w14:val="none"/>
        </w:rPr>
        <w:t>167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2893CBC1" w14:textId="640E8151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Juror State Revenue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  <w:t xml:space="preserve"> </w:t>
      </w:r>
      <w:r w:rsidR="006258C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2A753C">
        <w:rPr>
          <w:rFonts w:cstheme="minorHAnsi"/>
          <w:kern w:val="0"/>
          <w:sz w:val="24"/>
          <w:szCs w:val="24"/>
          <w14:ligatures w14:val="none"/>
        </w:rPr>
        <w:t xml:space="preserve">     1</w:t>
      </w:r>
      <w:r w:rsidR="006D3FED">
        <w:rPr>
          <w:rFonts w:cstheme="minorHAnsi"/>
          <w:kern w:val="0"/>
          <w:sz w:val="24"/>
          <w:szCs w:val="24"/>
          <w14:ligatures w14:val="none"/>
        </w:rPr>
        <w:t>66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FD621F">
        <w:rPr>
          <w:rFonts w:cstheme="minorHAnsi"/>
          <w:kern w:val="0"/>
          <w:sz w:val="24"/>
          <w:szCs w:val="24"/>
          <w14:ligatures w14:val="none"/>
        </w:rPr>
        <w:t>000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48FC863A" w14:textId="7406135F" w:rsid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 xml:space="preserve">Title IV-D Funds                    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  <w:t xml:space="preserve">  </w:t>
      </w:r>
      <w:r w:rsidR="006258C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2A753C">
        <w:rPr>
          <w:rFonts w:cstheme="minorHAnsi"/>
          <w:kern w:val="0"/>
          <w:sz w:val="24"/>
          <w:szCs w:val="24"/>
          <w14:ligatures w14:val="none"/>
        </w:rPr>
        <w:t xml:space="preserve">    </w:t>
      </w:r>
      <w:r w:rsidR="00FD621F">
        <w:rPr>
          <w:rFonts w:cstheme="minorHAnsi"/>
          <w:kern w:val="0"/>
          <w:sz w:val="24"/>
          <w:szCs w:val="24"/>
          <w14:ligatures w14:val="none"/>
        </w:rPr>
        <w:t>180</w:t>
      </w:r>
      <w:r w:rsidRPr="002A753C">
        <w:rPr>
          <w:rFonts w:cstheme="minorHAnsi"/>
          <w:kern w:val="0"/>
          <w:sz w:val="24"/>
          <w:szCs w:val="24"/>
          <w14:ligatures w14:val="none"/>
        </w:rPr>
        <w:t>,000.00</w:t>
      </w:r>
    </w:p>
    <w:p w14:paraId="1AB6341E" w14:textId="57BA8133" w:rsidR="002A753C" w:rsidRPr="002A753C" w:rsidRDefault="00272080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ab/>
      </w:r>
      <w:r w:rsidR="002A753C" w:rsidRPr="002A753C">
        <w:rPr>
          <w:rFonts w:cstheme="minorHAnsi"/>
          <w:kern w:val="0"/>
          <w:sz w:val="24"/>
          <w:szCs w:val="24"/>
          <w14:ligatures w14:val="none"/>
        </w:rPr>
        <w:t xml:space="preserve">Court Charges                                                    </w:t>
      </w:r>
      <w:r w:rsidR="002A753C" w:rsidRPr="002A753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    </w:t>
      </w:r>
      <w:r w:rsidR="006258C3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="002A753C" w:rsidRPr="002A753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  </w:t>
      </w:r>
      <w:r w:rsidR="0024133C">
        <w:rPr>
          <w:rFonts w:cstheme="minorHAnsi"/>
          <w:kern w:val="0"/>
          <w:sz w:val="24"/>
          <w:szCs w:val="24"/>
          <w:u w:val="single"/>
          <w14:ligatures w14:val="none"/>
        </w:rPr>
        <w:t>952</w:t>
      </w:r>
      <w:r w:rsidR="005C0F6B">
        <w:rPr>
          <w:rFonts w:cstheme="minorHAnsi"/>
          <w:kern w:val="0"/>
          <w:sz w:val="24"/>
          <w:szCs w:val="24"/>
          <w:u w:val="single"/>
          <w14:ligatures w14:val="none"/>
        </w:rPr>
        <w:t>,</w:t>
      </w:r>
      <w:r w:rsidR="0024133C">
        <w:rPr>
          <w:rFonts w:cstheme="minorHAnsi"/>
          <w:kern w:val="0"/>
          <w:sz w:val="24"/>
          <w:szCs w:val="24"/>
          <w:u w:val="single"/>
          <w14:ligatures w14:val="none"/>
        </w:rPr>
        <w:t>294</w:t>
      </w:r>
      <w:r w:rsidR="002A753C" w:rsidRPr="002A753C">
        <w:rPr>
          <w:rFonts w:cstheme="minorHAnsi"/>
          <w:kern w:val="0"/>
          <w:sz w:val="24"/>
          <w:szCs w:val="24"/>
          <w:u w:val="single"/>
          <w14:ligatures w14:val="none"/>
        </w:rPr>
        <w:t>.00</w:t>
      </w:r>
    </w:p>
    <w:p w14:paraId="5AFA1C98" w14:textId="30AED0A0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 xml:space="preserve">       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  <w:t>Total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>$</w:t>
      </w:r>
      <w:r w:rsidR="008F6AD8">
        <w:rPr>
          <w:rFonts w:cstheme="minorHAnsi"/>
          <w:kern w:val="0"/>
          <w:sz w:val="24"/>
          <w:szCs w:val="24"/>
          <w14:ligatures w14:val="none"/>
        </w:rPr>
        <w:t>5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8F6AD8">
        <w:rPr>
          <w:rFonts w:cstheme="minorHAnsi"/>
          <w:kern w:val="0"/>
          <w:sz w:val="24"/>
          <w:szCs w:val="24"/>
          <w14:ligatures w14:val="none"/>
        </w:rPr>
        <w:t>457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8F6AD8">
        <w:rPr>
          <w:rFonts w:cstheme="minorHAnsi"/>
          <w:kern w:val="0"/>
          <w:sz w:val="24"/>
          <w:szCs w:val="24"/>
          <w14:ligatures w14:val="none"/>
        </w:rPr>
        <w:t>461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3929532D" w14:textId="77777777" w:rsidR="002A753C" w:rsidRPr="002A753C" w:rsidRDefault="002A753C" w:rsidP="002A753C">
      <w:pPr>
        <w:spacing w:after="0" w:line="276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b/>
          <w:kern w:val="0"/>
          <w:sz w:val="24"/>
          <w:szCs w:val="24"/>
          <w14:ligatures w14:val="none"/>
        </w:rPr>
        <w:t>Expenditures</w:t>
      </w:r>
      <w:r w:rsidRPr="002A753C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b/>
          <w:kern w:val="0"/>
          <w:sz w:val="24"/>
          <w:szCs w:val="24"/>
          <w14:ligatures w14:val="none"/>
        </w:rPr>
        <w:tab/>
      </w:r>
    </w:p>
    <w:p w14:paraId="0168AC4F" w14:textId="4F85ECFA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>Person</w:t>
      </w:r>
      <w:r w:rsidR="00B3494B">
        <w:rPr>
          <w:rFonts w:cstheme="minorHAnsi"/>
          <w:kern w:val="0"/>
          <w:sz w:val="24"/>
          <w:szCs w:val="24"/>
          <w14:ligatures w14:val="none"/>
        </w:rPr>
        <w:t>ne</w:t>
      </w:r>
      <w:r w:rsidRPr="002A753C">
        <w:rPr>
          <w:rFonts w:cstheme="minorHAnsi"/>
          <w:kern w:val="0"/>
          <w:sz w:val="24"/>
          <w:szCs w:val="24"/>
          <w14:ligatures w14:val="none"/>
        </w:rPr>
        <w:t>l Services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D00203">
        <w:rPr>
          <w:rFonts w:cstheme="minorHAnsi"/>
          <w:kern w:val="0"/>
          <w:sz w:val="24"/>
          <w:szCs w:val="24"/>
          <w14:ligatures w14:val="none"/>
        </w:rPr>
        <w:t xml:space="preserve">         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>$</w:t>
      </w:r>
      <w:r w:rsidR="004A5762">
        <w:rPr>
          <w:rFonts w:cstheme="minorHAnsi"/>
          <w:kern w:val="0"/>
          <w:sz w:val="24"/>
          <w:szCs w:val="24"/>
          <w14:ligatures w14:val="none"/>
        </w:rPr>
        <w:t>4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4D424B">
        <w:rPr>
          <w:rFonts w:cstheme="minorHAnsi"/>
          <w:kern w:val="0"/>
          <w:sz w:val="24"/>
          <w:szCs w:val="24"/>
          <w14:ligatures w14:val="none"/>
        </w:rPr>
        <w:t>476</w:t>
      </w:r>
      <w:r w:rsidR="00272080">
        <w:rPr>
          <w:rFonts w:cstheme="minorHAnsi"/>
          <w:kern w:val="0"/>
          <w:sz w:val="24"/>
          <w:szCs w:val="24"/>
          <w14:ligatures w14:val="none"/>
        </w:rPr>
        <w:t>,</w:t>
      </w:r>
      <w:r w:rsidR="004D424B">
        <w:rPr>
          <w:rFonts w:cstheme="minorHAnsi"/>
          <w:kern w:val="0"/>
          <w:sz w:val="24"/>
          <w:szCs w:val="24"/>
          <w14:ligatures w14:val="none"/>
        </w:rPr>
        <w:t>687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27A706B4" w14:textId="135DBE32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Operating Expenses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        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D00203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2A753C">
        <w:rPr>
          <w:rFonts w:cstheme="minorHAnsi"/>
          <w:kern w:val="0"/>
          <w:sz w:val="24"/>
          <w:szCs w:val="24"/>
          <w14:ligatures w14:val="none"/>
        </w:rPr>
        <w:t xml:space="preserve">  </w:t>
      </w:r>
      <w:r w:rsidR="00272080">
        <w:rPr>
          <w:rFonts w:cstheme="minorHAnsi"/>
          <w:kern w:val="0"/>
          <w:sz w:val="24"/>
          <w:szCs w:val="24"/>
          <w14:ligatures w14:val="none"/>
        </w:rPr>
        <w:t xml:space="preserve">  </w:t>
      </w:r>
      <w:r w:rsidR="00DA378B">
        <w:rPr>
          <w:rFonts w:cstheme="minorHAnsi"/>
          <w:kern w:val="0"/>
          <w:sz w:val="24"/>
          <w:szCs w:val="24"/>
          <w14:ligatures w14:val="none"/>
        </w:rPr>
        <w:t xml:space="preserve">  28</w:t>
      </w:r>
      <w:r w:rsidR="00272080">
        <w:rPr>
          <w:rFonts w:cstheme="minorHAnsi"/>
          <w:kern w:val="0"/>
          <w:sz w:val="24"/>
          <w:szCs w:val="24"/>
          <w14:ligatures w14:val="none"/>
        </w:rPr>
        <w:t>,</w:t>
      </w:r>
      <w:r w:rsidR="00DA378B">
        <w:rPr>
          <w:rFonts w:cstheme="minorHAnsi"/>
          <w:kern w:val="0"/>
          <w:sz w:val="24"/>
          <w:szCs w:val="24"/>
          <w14:ligatures w14:val="none"/>
        </w:rPr>
        <w:t>480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4DB8DD1D" w14:textId="4DBA6C7E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State Collection for 67 Counties</w:t>
      </w:r>
      <w:r w:rsidR="00091DF3">
        <w:rPr>
          <w:rFonts w:cstheme="minorHAnsi"/>
          <w:kern w:val="0"/>
          <w:sz w:val="24"/>
          <w:szCs w:val="24"/>
          <w:vertAlign w:val="superscript"/>
          <w14:ligatures w14:val="none"/>
        </w:rPr>
        <w:t>2</w:t>
      </w:r>
      <w:r w:rsidRPr="002A753C">
        <w:rPr>
          <w:rFonts w:cstheme="minorHAnsi"/>
          <w:kern w:val="0"/>
          <w:sz w:val="24"/>
          <w:szCs w:val="24"/>
          <w:vertAlign w:val="superscript"/>
          <w14:ligatures w14:val="none"/>
        </w:rPr>
        <w:t xml:space="preserve">                              </w:t>
      </w:r>
      <w:r w:rsidRPr="002A753C">
        <w:rPr>
          <w:rFonts w:cstheme="minorHAnsi"/>
          <w:kern w:val="0"/>
          <w:sz w:val="24"/>
          <w:szCs w:val="24"/>
          <w:u w:val="single"/>
          <w:vertAlign w:val="superscript"/>
          <w14:ligatures w14:val="none"/>
        </w:rPr>
        <w:t xml:space="preserve">   </w:t>
      </w:r>
      <w:r w:rsidRPr="002A753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="00C2433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Pr="002A753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="00D00203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Pr="002A753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="00272080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Pr="002A753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="00EC187F">
        <w:rPr>
          <w:rFonts w:cstheme="minorHAnsi"/>
          <w:kern w:val="0"/>
          <w:sz w:val="24"/>
          <w:szCs w:val="24"/>
          <w:u w:val="single"/>
          <w14:ligatures w14:val="none"/>
        </w:rPr>
        <w:t>952</w:t>
      </w:r>
      <w:r w:rsidR="00272080">
        <w:rPr>
          <w:rFonts w:cstheme="minorHAnsi"/>
          <w:kern w:val="0"/>
          <w:sz w:val="24"/>
          <w:szCs w:val="24"/>
          <w:u w:val="single"/>
          <w14:ligatures w14:val="none"/>
        </w:rPr>
        <w:t>,</w:t>
      </w:r>
      <w:r w:rsidR="00F623EB">
        <w:rPr>
          <w:rFonts w:cstheme="minorHAnsi"/>
          <w:kern w:val="0"/>
          <w:sz w:val="24"/>
          <w:szCs w:val="24"/>
          <w:u w:val="single"/>
          <w14:ligatures w14:val="none"/>
        </w:rPr>
        <w:t>294</w:t>
      </w:r>
      <w:r w:rsidRPr="002A753C">
        <w:rPr>
          <w:rFonts w:cstheme="minorHAnsi"/>
          <w:kern w:val="0"/>
          <w:sz w:val="24"/>
          <w:szCs w:val="24"/>
          <w:u w:val="single"/>
          <w14:ligatures w14:val="none"/>
        </w:rPr>
        <w:t>.00</w:t>
      </w:r>
    </w:p>
    <w:p w14:paraId="48078FF1" w14:textId="33DF2259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Total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                                   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>$</w:t>
      </w:r>
      <w:r w:rsidR="00F623EB">
        <w:rPr>
          <w:rFonts w:cstheme="minorHAnsi"/>
          <w:kern w:val="0"/>
          <w:sz w:val="24"/>
          <w:szCs w:val="24"/>
          <w14:ligatures w14:val="none"/>
        </w:rPr>
        <w:t>5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F623EB">
        <w:rPr>
          <w:rFonts w:cstheme="minorHAnsi"/>
          <w:kern w:val="0"/>
          <w:sz w:val="24"/>
          <w:szCs w:val="24"/>
          <w14:ligatures w14:val="none"/>
        </w:rPr>
        <w:t>457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F623EB">
        <w:rPr>
          <w:rFonts w:cstheme="minorHAnsi"/>
          <w:kern w:val="0"/>
          <w:sz w:val="24"/>
          <w:szCs w:val="24"/>
          <w14:ligatures w14:val="none"/>
        </w:rPr>
        <w:t>461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6529F002" w14:textId="77777777" w:rsidR="002A753C" w:rsidRPr="002A753C" w:rsidRDefault="002A753C" w:rsidP="002A753C">
      <w:pPr>
        <w:spacing w:after="0" w:line="276" w:lineRule="auto"/>
        <w:rPr>
          <w:rFonts w:cstheme="minorHAnsi"/>
          <w:kern w:val="0"/>
          <w14:ligatures w14:val="none"/>
        </w:rPr>
      </w:pPr>
    </w:p>
    <w:p w14:paraId="14E9664E" w14:textId="77777777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8"/>
          <w:szCs w:val="28"/>
          <w14:ligatures w14:val="none"/>
        </w:rPr>
      </w:pPr>
      <w:r w:rsidRPr="002A753C">
        <w:rPr>
          <w:rFonts w:cstheme="minorHAnsi"/>
          <w:kern w:val="0"/>
          <w:sz w:val="28"/>
          <w:szCs w:val="28"/>
          <w14:ligatures w14:val="none"/>
        </w:rPr>
        <w:t>County and other Non-Court Operations</w:t>
      </w:r>
      <w:r w:rsidR="001E44AF" w:rsidRPr="003928EF">
        <w:rPr>
          <w:rStyle w:val="FootnoteReference"/>
          <w:rFonts w:ascii="Californian FB" w:hAnsi="Californian FB"/>
          <w:b/>
          <w:color w:val="0F243E"/>
          <w:sz w:val="24"/>
          <w:szCs w:val="24"/>
        </w:rPr>
        <w:footnoteReference w:id="3"/>
      </w:r>
    </w:p>
    <w:p w14:paraId="59066F30" w14:textId="77777777" w:rsidR="002A753C" w:rsidRPr="002A753C" w:rsidRDefault="002A753C" w:rsidP="002A753C">
      <w:pPr>
        <w:spacing w:after="0" w:line="276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32"/>
          <w:szCs w:val="32"/>
          <w14:ligatures w14:val="none"/>
        </w:rPr>
        <w:tab/>
      </w:r>
      <w:r w:rsidRPr="002A753C">
        <w:rPr>
          <w:rFonts w:cstheme="minorHAnsi"/>
          <w:b/>
          <w:kern w:val="0"/>
          <w:sz w:val="24"/>
          <w:szCs w:val="24"/>
          <w14:ligatures w14:val="none"/>
        </w:rPr>
        <w:t>Revenue</w:t>
      </w:r>
    </w:p>
    <w:p w14:paraId="66E46EC2" w14:textId="45638D4E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BOCC Allocation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>$</w:t>
      </w:r>
      <w:r w:rsidR="003747C0">
        <w:rPr>
          <w:rFonts w:cstheme="minorHAnsi"/>
          <w:kern w:val="0"/>
          <w:sz w:val="24"/>
          <w:szCs w:val="24"/>
          <w14:ligatures w14:val="none"/>
        </w:rPr>
        <w:t>1</w:t>
      </w:r>
      <w:r w:rsidR="00B562EE">
        <w:rPr>
          <w:rFonts w:cstheme="minorHAnsi"/>
          <w:kern w:val="0"/>
          <w:sz w:val="24"/>
          <w:szCs w:val="24"/>
          <w14:ligatures w14:val="none"/>
        </w:rPr>
        <w:t>3</w:t>
      </w:r>
      <w:r w:rsidR="00B9251B">
        <w:rPr>
          <w:rFonts w:cstheme="minorHAnsi"/>
          <w:kern w:val="0"/>
          <w:sz w:val="24"/>
          <w:szCs w:val="24"/>
          <w14:ligatures w14:val="none"/>
        </w:rPr>
        <w:t>,</w:t>
      </w:r>
      <w:r w:rsidR="00AC4E25">
        <w:rPr>
          <w:rFonts w:cstheme="minorHAnsi"/>
          <w:kern w:val="0"/>
          <w:sz w:val="24"/>
          <w:szCs w:val="24"/>
          <w14:ligatures w14:val="none"/>
        </w:rPr>
        <w:t>952</w:t>
      </w:r>
      <w:r w:rsidR="00B9251B">
        <w:rPr>
          <w:rFonts w:cstheme="minorHAnsi"/>
          <w:kern w:val="0"/>
          <w:sz w:val="24"/>
          <w:szCs w:val="24"/>
          <w14:ligatures w14:val="none"/>
        </w:rPr>
        <w:t>,</w:t>
      </w:r>
      <w:r w:rsidR="00AC4E25">
        <w:rPr>
          <w:rFonts w:cstheme="minorHAnsi"/>
          <w:kern w:val="0"/>
          <w:sz w:val="24"/>
          <w:szCs w:val="24"/>
          <w14:ligatures w14:val="none"/>
        </w:rPr>
        <w:t>767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6479FF03" w14:textId="3650BBB8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Charges for Services</w:t>
      </w:r>
      <w:r w:rsidRPr="002A753C">
        <w:rPr>
          <w:rFonts w:cstheme="minorHAnsi"/>
          <w:kern w:val="0"/>
          <w:sz w:val="24"/>
          <w:szCs w:val="24"/>
          <w:vertAlign w:val="superscript"/>
          <w14:ligatures w14:val="none"/>
        </w:rPr>
        <w:footnoteReference w:id="4"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D33CEE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="00855131" w:rsidRPr="00D33CEE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="000D6A72" w:rsidRPr="00D33CEE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 </w:t>
      </w:r>
      <w:r w:rsidRPr="00D33CEE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1,</w:t>
      </w:r>
      <w:r w:rsidR="00397D16">
        <w:rPr>
          <w:rFonts w:cstheme="minorHAnsi"/>
          <w:kern w:val="0"/>
          <w:sz w:val="24"/>
          <w:szCs w:val="24"/>
          <w:u w:val="single"/>
          <w14:ligatures w14:val="none"/>
        </w:rPr>
        <w:t>668</w:t>
      </w:r>
      <w:r w:rsidR="00272080" w:rsidRPr="00D33CEE">
        <w:rPr>
          <w:rFonts w:cstheme="minorHAnsi"/>
          <w:kern w:val="0"/>
          <w:sz w:val="24"/>
          <w:szCs w:val="24"/>
          <w:u w:val="single"/>
          <w14:ligatures w14:val="none"/>
        </w:rPr>
        <w:t>,</w:t>
      </w:r>
      <w:r w:rsidR="008F3094">
        <w:rPr>
          <w:rFonts w:cstheme="minorHAnsi"/>
          <w:kern w:val="0"/>
          <w:sz w:val="24"/>
          <w:szCs w:val="24"/>
          <w:u w:val="single"/>
          <w14:ligatures w14:val="none"/>
        </w:rPr>
        <w:t>839</w:t>
      </w:r>
      <w:r w:rsidRPr="00D33CEE">
        <w:rPr>
          <w:rFonts w:cstheme="minorHAnsi"/>
          <w:kern w:val="0"/>
          <w:sz w:val="24"/>
          <w:szCs w:val="24"/>
          <w:u w:val="single"/>
          <w14:ligatures w14:val="none"/>
        </w:rPr>
        <w:t>.00</w:t>
      </w:r>
    </w:p>
    <w:p w14:paraId="20647799" w14:textId="3A1003C9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Total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             </w:t>
      </w:r>
      <w:r w:rsidR="00D33CEE">
        <w:rPr>
          <w:rFonts w:cstheme="minorHAnsi"/>
          <w:kern w:val="0"/>
          <w:sz w:val="24"/>
          <w:szCs w:val="24"/>
          <w14:ligatures w14:val="none"/>
        </w:rPr>
        <w:t>$1</w:t>
      </w:r>
      <w:r w:rsidR="008F3094">
        <w:rPr>
          <w:rFonts w:cstheme="minorHAnsi"/>
          <w:kern w:val="0"/>
          <w:sz w:val="24"/>
          <w:szCs w:val="24"/>
          <w14:ligatures w14:val="none"/>
        </w:rPr>
        <w:t>5</w:t>
      </w:r>
      <w:r w:rsidR="00D33CEE">
        <w:rPr>
          <w:rFonts w:cstheme="minorHAnsi"/>
          <w:kern w:val="0"/>
          <w:sz w:val="24"/>
          <w:szCs w:val="24"/>
          <w14:ligatures w14:val="none"/>
        </w:rPr>
        <w:t>,</w:t>
      </w:r>
      <w:r w:rsidR="008F3094">
        <w:rPr>
          <w:rFonts w:cstheme="minorHAnsi"/>
          <w:kern w:val="0"/>
          <w:sz w:val="24"/>
          <w:szCs w:val="24"/>
          <w14:ligatures w14:val="none"/>
        </w:rPr>
        <w:t>621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555670">
        <w:rPr>
          <w:rFonts w:cstheme="minorHAnsi"/>
          <w:kern w:val="0"/>
          <w:sz w:val="24"/>
          <w:szCs w:val="24"/>
          <w14:ligatures w14:val="none"/>
        </w:rPr>
        <w:t>606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2726E027" w14:textId="77777777" w:rsidR="002A753C" w:rsidRPr="002A753C" w:rsidRDefault="002A753C" w:rsidP="002A753C">
      <w:pPr>
        <w:spacing w:after="0" w:line="276" w:lineRule="auto"/>
        <w:rPr>
          <w:rFonts w:cstheme="minorHAnsi"/>
          <w:b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b/>
          <w:kern w:val="0"/>
          <w:sz w:val="24"/>
          <w:szCs w:val="24"/>
          <w14:ligatures w14:val="none"/>
        </w:rPr>
        <w:t>Expenditures</w:t>
      </w:r>
    </w:p>
    <w:p w14:paraId="19720F2A" w14:textId="344D064C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b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>Person</w:t>
      </w:r>
      <w:r w:rsidR="00B3494B">
        <w:rPr>
          <w:rFonts w:cstheme="minorHAnsi"/>
          <w:kern w:val="0"/>
          <w:sz w:val="24"/>
          <w:szCs w:val="24"/>
          <w14:ligatures w14:val="none"/>
        </w:rPr>
        <w:t>nel</w:t>
      </w:r>
      <w:r w:rsidRPr="002A753C">
        <w:rPr>
          <w:rFonts w:cstheme="minorHAnsi"/>
          <w:kern w:val="0"/>
          <w:sz w:val="24"/>
          <w:szCs w:val="24"/>
          <w14:ligatures w14:val="none"/>
        </w:rPr>
        <w:t xml:space="preserve"> Services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        </w:t>
      </w:r>
      <w:r w:rsidR="004E6E8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 xml:space="preserve"> $</w:t>
      </w:r>
      <w:r w:rsidR="00FC0819">
        <w:rPr>
          <w:rFonts w:cstheme="minorHAnsi"/>
          <w:kern w:val="0"/>
          <w:sz w:val="24"/>
          <w:szCs w:val="24"/>
          <w14:ligatures w14:val="none"/>
        </w:rPr>
        <w:t>8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FC0819">
        <w:rPr>
          <w:rFonts w:cstheme="minorHAnsi"/>
          <w:kern w:val="0"/>
          <w:sz w:val="24"/>
          <w:szCs w:val="24"/>
          <w14:ligatures w14:val="none"/>
        </w:rPr>
        <w:t>525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3E32DA">
        <w:rPr>
          <w:rFonts w:cstheme="minorHAnsi"/>
          <w:kern w:val="0"/>
          <w:sz w:val="24"/>
          <w:szCs w:val="24"/>
          <w14:ligatures w14:val="none"/>
        </w:rPr>
        <w:t>483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47BC6D50" w14:textId="53AA1085" w:rsidR="002A753C" w:rsidRP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Operating Expenses</w:t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                           </w:t>
      </w:r>
      <w:r w:rsidR="004E6E8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40597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A7A74">
        <w:rPr>
          <w:rFonts w:cstheme="minorHAnsi"/>
          <w:kern w:val="0"/>
          <w:sz w:val="24"/>
          <w:szCs w:val="24"/>
          <w14:ligatures w14:val="none"/>
        </w:rPr>
        <w:t>6</w:t>
      </w:r>
      <w:r w:rsidR="00AD0F0D">
        <w:rPr>
          <w:rFonts w:cstheme="minorHAnsi"/>
          <w:kern w:val="0"/>
          <w:sz w:val="24"/>
          <w:szCs w:val="24"/>
          <w14:ligatures w14:val="none"/>
        </w:rPr>
        <w:t>,</w:t>
      </w:r>
      <w:r w:rsidR="003F407D">
        <w:rPr>
          <w:rFonts w:cstheme="minorHAnsi"/>
          <w:kern w:val="0"/>
          <w:sz w:val="24"/>
          <w:szCs w:val="24"/>
          <w14:ligatures w14:val="none"/>
        </w:rPr>
        <w:t>796</w:t>
      </w:r>
      <w:r w:rsidR="00AD0F0D">
        <w:rPr>
          <w:rFonts w:cstheme="minorHAnsi"/>
          <w:kern w:val="0"/>
          <w:sz w:val="24"/>
          <w:szCs w:val="24"/>
          <w14:ligatures w14:val="none"/>
        </w:rPr>
        <w:t>,</w:t>
      </w:r>
      <w:r w:rsidR="003F407D">
        <w:rPr>
          <w:rFonts w:cstheme="minorHAnsi"/>
          <w:kern w:val="0"/>
          <w:sz w:val="24"/>
          <w:szCs w:val="24"/>
          <w14:ligatures w14:val="none"/>
        </w:rPr>
        <w:t>123</w:t>
      </w:r>
      <w:r w:rsidRPr="002A753C">
        <w:rPr>
          <w:rFonts w:cstheme="minorHAnsi"/>
          <w:kern w:val="0"/>
          <w:sz w:val="24"/>
          <w:szCs w:val="24"/>
          <w14:ligatures w14:val="none"/>
        </w:rPr>
        <w:t>.00</w:t>
      </w:r>
    </w:p>
    <w:p w14:paraId="22BA729A" w14:textId="0D35DC09" w:rsidR="002A753C" w:rsidRDefault="002A753C" w:rsidP="002A753C">
      <w:pPr>
        <w:spacing w:after="0" w:line="276" w:lineRule="auto"/>
        <w:rPr>
          <w:rFonts w:cstheme="minorHAnsi"/>
          <w:kern w:val="0"/>
          <w:sz w:val="24"/>
          <w:szCs w:val="24"/>
          <w:u w:val="single"/>
          <w14:ligatures w14:val="none"/>
        </w:rPr>
      </w:pPr>
      <w:r w:rsidRPr="002A753C">
        <w:rPr>
          <w:rFonts w:cstheme="minorHAnsi"/>
          <w:kern w:val="0"/>
          <w:sz w:val="24"/>
          <w:szCs w:val="24"/>
          <w14:ligatures w14:val="none"/>
        </w:rPr>
        <w:tab/>
        <w:t>Capital Outlay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                                     </w:t>
      </w:r>
      <w:r w:rsidR="004E6E8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</w:t>
      </w:r>
      <w:r w:rsidR="000D6A72" w:rsidRPr="0026176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 </w:t>
      </w:r>
      <w:r w:rsidR="0026176C" w:rsidRPr="0026176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 </w:t>
      </w:r>
      <w:r w:rsidRPr="0026176C">
        <w:rPr>
          <w:rFonts w:cstheme="minorHAnsi"/>
          <w:kern w:val="0"/>
          <w:sz w:val="24"/>
          <w:szCs w:val="24"/>
          <w:u w:val="single"/>
          <w14:ligatures w14:val="none"/>
        </w:rPr>
        <w:t xml:space="preserve"> </w:t>
      </w:r>
      <w:r w:rsidR="002A7A74">
        <w:rPr>
          <w:rFonts w:cstheme="minorHAnsi"/>
          <w:kern w:val="0"/>
          <w:sz w:val="24"/>
          <w:szCs w:val="24"/>
          <w:u w:val="single"/>
          <w14:ligatures w14:val="none"/>
        </w:rPr>
        <w:t>300</w:t>
      </w:r>
      <w:r w:rsidR="00AD0F0D" w:rsidRPr="0026176C">
        <w:rPr>
          <w:rFonts w:cstheme="minorHAnsi"/>
          <w:kern w:val="0"/>
          <w:sz w:val="24"/>
          <w:szCs w:val="24"/>
          <w:u w:val="single"/>
          <w14:ligatures w14:val="none"/>
        </w:rPr>
        <w:t>,</w:t>
      </w:r>
      <w:r w:rsidR="002C1177" w:rsidRPr="0026176C">
        <w:rPr>
          <w:rFonts w:cstheme="minorHAnsi"/>
          <w:kern w:val="0"/>
          <w:sz w:val="24"/>
          <w:szCs w:val="24"/>
          <w:u w:val="single"/>
          <w14:ligatures w14:val="none"/>
        </w:rPr>
        <w:t>000</w:t>
      </w:r>
      <w:r w:rsidRPr="0026176C">
        <w:rPr>
          <w:rFonts w:cstheme="minorHAnsi"/>
          <w:kern w:val="0"/>
          <w:sz w:val="24"/>
          <w:szCs w:val="24"/>
          <w:u w:val="single"/>
          <w14:ligatures w14:val="none"/>
        </w:rPr>
        <w:t>.00</w:t>
      </w:r>
    </w:p>
    <w:p w14:paraId="65CB3DEF" w14:textId="46B72AAE" w:rsidR="002A753C" w:rsidRPr="00182888" w:rsidRDefault="002A753C" w:rsidP="00182888">
      <w:pPr>
        <w:tabs>
          <w:tab w:val="left" w:pos="2940"/>
        </w:tabs>
        <w:rPr>
          <w:rFonts w:ascii="Arial" w:hAnsi="Arial" w:cs="Arial"/>
          <w:sz w:val="24"/>
          <w:szCs w:val="24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             </w:t>
      </w:r>
      <w:r w:rsidRPr="002A753C">
        <w:rPr>
          <w:rFonts w:cstheme="minorHAnsi"/>
          <w:kern w:val="0"/>
          <w:sz w:val="24"/>
          <w:szCs w:val="24"/>
          <w14:ligatures w14:val="none"/>
        </w:rPr>
        <w:t>Total</w:t>
      </w:r>
      <w:r w:rsidRPr="002A753C">
        <w:rPr>
          <w:rFonts w:cstheme="minorHAnsi"/>
          <w:kern w:val="0"/>
          <w:sz w:val="24"/>
          <w:szCs w:val="24"/>
          <w14:ligatures w14:val="none"/>
        </w:rPr>
        <w:tab/>
      </w:r>
      <w:r>
        <w:rPr>
          <w:rFonts w:cstheme="minorHAnsi"/>
          <w:kern w:val="0"/>
          <w:sz w:val="24"/>
          <w:szCs w:val="24"/>
          <w14:ligatures w14:val="none"/>
        </w:rPr>
        <w:t xml:space="preserve">   </w:t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                                  </w:t>
      </w:r>
      <w:r w:rsidR="004E6E8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D6A72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6176C">
        <w:rPr>
          <w:rFonts w:cstheme="minorHAnsi"/>
          <w:kern w:val="0"/>
          <w:sz w:val="24"/>
          <w:szCs w:val="24"/>
          <w14:ligatures w14:val="none"/>
        </w:rPr>
        <w:t>$1</w:t>
      </w:r>
      <w:r w:rsidR="00E576B1">
        <w:rPr>
          <w:rFonts w:cstheme="minorHAnsi"/>
          <w:kern w:val="0"/>
          <w:sz w:val="24"/>
          <w:szCs w:val="24"/>
          <w14:ligatures w14:val="none"/>
        </w:rPr>
        <w:t>5</w:t>
      </w:r>
      <w:r w:rsidRPr="002A753C">
        <w:rPr>
          <w:rFonts w:cstheme="minorHAnsi"/>
          <w:kern w:val="0"/>
          <w:sz w:val="24"/>
          <w:szCs w:val="24"/>
          <w14:ligatures w14:val="none"/>
        </w:rPr>
        <w:t>,</w:t>
      </w:r>
      <w:r w:rsidR="00E576B1">
        <w:rPr>
          <w:rFonts w:cstheme="minorHAnsi"/>
          <w:kern w:val="0"/>
          <w:sz w:val="24"/>
          <w:szCs w:val="24"/>
          <w14:ligatures w14:val="none"/>
        </w:rPr>
        <w:t>621</w:t>
      </w:r>
      <w:r w:rsidR="00AD0F0D">
        <w:rPr>
          <w:rFonts w:cstheme="minorHAnsi"/>
          <w:kern w:val="0"/>
          <w:sz w:val="24"/>
          <w:szCs w:val="24"/>
          <w14:ligatures w14:val="none"/>
        </w:rPr>
        <w:t>,</w:t>
      </w:r>
      <w:r w:rsidR="00E576B1">
        <w:rPr>
          <w:rFonts w:cstheme="minorHAnsi"/>
          <w:kern w:val="0"/>
          <w:sz w:val="24"/>
          <w:szCs w:val="24"/>
          <w14:ligatures w14:val="none"/>
        </w:rPr>
        <w:t>606</w:t>
      </w:r>
      <w:r w:rsidRPr="002A753C">
        <w:rPr>
          <w:rFonts w:cstheme="minorHAnsi"/>
          <w:kern w:val="0"/>
          <w:sz w:val="24"/>
          <w:szCs w:val="24"/>
          <w14:ligatures w14:val="none"/>
        </w:rPr>
        <w:t>.</w:t>
      </w:r>
      <w:r>
        <w:rPr>
          <w:rFonts w:cstheme="minorHAnsi"/>
          <w:kern w:val="0"/>
          <w:sz w:val="24"/>
          <w:szCs w:val="24"/>
          <w14:ligatures w14:val="none"/>
        </w:rPr>
        <w:t>00</w:t>
      </w:r>
    </w:p>
    <w:sectPr w:rsidR="002A753C" w:rsidRPr="00182888" w:rsidSect="00244D28">
      <w:pgSz w:w="12240" w:h="15840" w:code="1"/>
      <w:pgMar w:top="990" w:right="1152" w:bottom="1152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F9CE" w14:textId="77777777" w:rsidR="00FF07EB" w:rsidRDefault="0054572E">
      <w:pPr>
        <w:spacing w:after="0" w:line="240" w:lineRule="auto"/>
      </w:pPr>
      <w:r>
        <w:separator/>
      </w:r>
    </w:p>
  </w:endnote>
  <w:endnote w:type="continuationSeparator" w:id="0">
    <w:p w14:paraId="110F07F2" w14:textId="77777777" w:rsidR="00FF07EB" w:rsidRDefault="0054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AB5E" w14:textId="77777777" w:rsidR="00FF07EB" w:rsidRDefault="0054572E">
      <w:pPr>
        <w:spacing w:after="0" w:line="240" w:lineRule="auto"/>
      </w:pPr>
      <w:r>
        <w:separator/>
      </w:r>
    </w:p>
  </w:footnote>
  <w:footnote w:type="continuationSeparator" w:id="0">
    <w:p w14:paraId="61155D6C" w14:textId="77777777" w:rsidR="00FF07EB" w:rsidRDefault="0054572E">
      <w:pPr>
        <w:spacing w:after="0" w:line="240" w:lineRule="auto"/>
      </w:pPr>
      <w:r>
        <w:continuationSeparator/>
      </w:r>
    </w:p>
  </w:footnote>
  <w:footnote w:id="1">
    <w:p w14:paraId="58225C13" w14:textId="77777777" w:rsidR="002A753C" w:rsidRDefault="002A753C">
      <w:pPr>
        <w:pStyle w:val="FootnoteText"/>
      </w:pPr>
      <w:r>
        <w:rPr>
          <w:rStyle w:val="FootnoteReference"/>
        </w:rPr>
        <w:footnoteRef/>
      </w:r>
      <w:r>
        <w:t xml:space="preserve"> In addition to the below budget the Clerk also receives revenues to offset technology costs from a portion of recording fees pursuant to Flori</w:t>
      </w:r>
      <w:r w:rsidR="00F266CC">
        <w:t>da Statutes 28.24(12)(d) and 12(e)</w:t>
      </w:r>
      <w:r>
        <w:t>.</w:t>
      </w:r>
    </w:p>
  </w:footnote>
  <w:footnote w:id="2">
    <w:p w14:paraId="3933190C" w14:textId="2751AFC9" w:rsidR="002A753C" w:rsidRDefault="002A753C" w:rsidP="002A753C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C51507">
        <w:rPr>
          <w:rFonts w:cstheme="minorHAnsi"/>
          <w:sz w:val="20"/>
          <w:szCs w:val="20"/>
        </w:rPr>
        <w:t>The Clerk of Court Operations Co</w:t>
      </w:r>
      <w:r>
        <w:rPr>
          <w:rFonts w:cstheme="minorHAnsi"/>
          <w:sz w:val="20"/>
          <w:szCs w:val="20"/>
        </w:rPr>
        <w:t>rporation</w:t>
      </w:r>
      <w:r w:rsidRPr="00C51507">
        <w:rPr>
          <w:rFonts w:cstheme="minorHAnsi"/>
          <w:sz w:val="20"/>
          <w:szCs w:val="20"/>
        </w:rPr>
        <w:t xml:space="preserve"> (CCOC) is the state entity which grants the budget authority for all 67 Clerks.  Hernando County is one of only </w:t>
      </w:r>
      <w:r w:rsidR="00D3333E">
        <w:rPr>
          <w:rFonts w:cstheme="minorHAnsi"/>
          <w:sz w:val="20"/>
          <w:szCs w:val="20"/>
        </w:rPr>
        <w:t>19</w:t>
      </w:r>
      <w:r w:rsidRPr="00C51507">
        <w:rPr>
          <w:rFonts w:cstheme="minorHAnsi"/>
          <w:sz w:val="20"/>
          <w:szCs w:val="20"/>
        </w:rPr>
        <w:t xml:space="preserve"> counties in the State that collects more court revenue than it uses for operations.</w:t>
      </w:r>
    </w:p>
  </w:footnote>
  <w:footnote w:id="3">
    <w:p w14:paraId="7854BA85" w14:textId="77777777" w:rsidR="001E44AF" w:rsidRDefault="001E44AF" w:rsidP="001E44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D0F96">
        <w:t>On July</w:t>
      </w:r>
      <w:r w:rsidR="00091DF3">
        <w:t xml:space="preserve"> 30, </w:t>
      </w:r>
      <w:proofErr w:type="gramStart"/>
      <w:r w:rsidR="00091DF3">
        <w:t>2019</w:t>
      </w:r>
      <w:proofErr w:type="gramEnd"/>
      <w:r w:rsidR="00091DF3">
        <w:t xml:space="preserve"> the Hernando County Commissioners voted to merge the </w:t>
      </w:r>
      <w:r w:rsidR="003928EF">
        <w:t>B</w:t>
      </w:r>
      <w:r w:rsidR="00091DF3">
        <w:t>oards Tech</w:t>
      </w:r>
      <w:r w:rsidR="003928EF">
        <w:t>nology</w:t>
      </w:r>
      <w:r w:rsidR="00091DF3">
        <w:t xml:space="preserve"> Services Department with the Clerk of Hernando County Information Technology Department to streamline costs and </w:t>
      </w:r>
      <w:r w:rsidR="003928EF">
        <w:t>improve</w:t>
      </w:r>
      <w:r w:rsidR="00091DF3">
        <w:t xml:space="preserve"> workforce efficiencies.</w:t>
      </w:r>
    </w:p>
  </w:footnote>
  <w:footnote w:id="4">
    <w:p w14:paraId="6584865C" w14:textId="4DFB5318" w:rsidR="002A753C" w:rsidRDefault="002A753C" w:rsidP="002A753C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C51507">
        <w:rPr>
          <w:rFonts w:cstheme="minorHAnsi"/>
          <w:sz w:val="20"/>
          <w:szCs w:val="20"/>
        </w:rPr>
        <w:t>The Clerk’s Office receives fees for a variety of services including the recording of land records, processing marriage licenses, performing ceremonies, and the initial processing steps for passports.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E3CEA"/>
    <w:multiLevelType w:val="hybridMultilevel"/>
    <w:tmpl w:val="575CBBB0"/>
    <w:lvl w:ilvl="0" w:tplc="D410F03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CE6D6D"/>
    <w:multiLevelType w:val="multilevel"/>
    <w:tmpl w:val="0409001D"/>
    <w:styleLink w:val="PP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C525C34"/>
    <w:multiLevelType w:val="hybridMultilevel"/>
    <w:tmpl w:val="F79E1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716C"/>
    <w:multiLevelType w:val="hybridMultilevel"/>
    <w:tmpl w:val="02002772"/>
    <w:lvl w:ilvl="0" w:tplc="83443792">
      <w:start w:val="1"/>
      <w:numFmt w:val="decimal"/>
      <w:lvlText w:val="%1."/>
      <w:lvlJc w:val="right"/>
      <w:pPr>
        <w:tabs>
          <w:tab w:val="num" w:pos="702"/>
        </w:tabs>
        <w:ind w:left="70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 w15:restartNumberingAfterBreak="0">
    <w:nsid w:val="3FF977F0"/>
    <w:multiLevelType w:val="multilevel"/>
    <w:tmpl w:val="E3885654"/>
    <w:styleLink w:val="PPs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 w:hint="default"/>
        <w:color w:val="000000" w:themeColor="text1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Arial" w:hAnsi="Arial" w:hint="default"/>
        <w:color w:val="000000" w:themeColor="text1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hint="default"/>
        <w:color w:val="000000" w:themeColor="text1"/>
        <w:sz w:val="24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Arial" w:hAnsi="Arial" w:hint="default"/>
        <w:color w:val="000000" w:themeColor="text1"/>
        <w:sz w:val="24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Arial" w:hAnsi="Arial" w:hint="default"/>
        <w:color w:val="000000" w:themeColor="text1"/>
        <w:sz w:val="24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="Arial" w:hAnsi="Arial" w:hint="default"/>
        <w:color w:val="000000" w:themeColor="text1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hint="default"/>
        <w:color w:val="000000" w:themeColor="text1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8D3256"/>
    <w:multiLevelType w:val="hybridMultilevel"/>
    <w:tmpl w:val="87BCB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97467"/>
    <w:multiLevelType w:val="hybridMultilevel"/>
    <w:tmpl w:val="DDEA08D8"/>
    <w:lvl w:ilvl="0" w:tplc="115A1A0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E77D92"/>
    <w:multiLevelType w:val="hybridMultilevel"/>
    <w:tmpl w:val="24F2D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380138">
    <w:abstractNumId w:val="2"/>
  </w:num>
  <w:num w:numId="2" w16cid:durableId="386419229">
    <w:abstractNumId w:val="5"/>
  </w:num>
  <w:num w:numId="3" w16cid:durableId="1150289611">
    <w:abstractNumId w:val="0"/>
    <w:lvlOverride w:ilvl="0">
      <w:startOverride w:val="11"/>
      <w:lvl w:ilvl="0">
        <w:start w:val="1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2076933080">
    <w:abstractNumId w:val="7"/>
  </w:num>
  <w:num w:numId="5" w16cid:durableId="1651330456">
    <w:abstractNumId w:val="6"/>
  </w:num>
  <w:num w:numId="6" w16cid:durableId="301807453">
    <w:abstractNumId w:val="4"/>
  </w:num>
  <w:num w:numId="7" w16cid:durableId="1798528217">
    <w:abstractNumId w:val="8"/>
  </w:num>
  <w:num w:numId="8" w16cid:durableId="1980449709">
    <w:abstractNumId w:val="1"/>
  </w:num>
  <w:num w:numId="9" w16cid:durableId="964698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8B"/>
    <w:rsid w:val="000045D9"/>
    <w:rsid w:val="00007D33"/>
    <w:rsid w:val="0004588B"/>
    <w:rsid w:val="00050893"/>
    <w:rsid w:val="00085E95"/>
    <w:rsid w:val="00091DF3"/>
    <w:rsid w:val="0009501C"/>
    <w:rsid w:val="000D6A72"/>
    <w:rsid w:val="000E4AA3"/>
    <w:rsid w:val="00133997"/>
    <w:rsid w:val="00182888"/>
    <w:rsid w:val="00197B39"/>
    <w:rsid w:val="001E44AF"/>
    <w:rsid w:val="00216350"/>
    <w:rsid w:val="0024133C"/>
    <w:rsid w:val="00244D28"/>
    <w:rsid w:val="0026176C"/>
    <w:rsid w:val="00272080"/>
    <w:rsid w:val="002A432F"/>
    <w:rsid w:val="002A753C"/>
    <w:rsid w:val="002A7A74"/>
    <w:rsid w:val="002C1177"/>
    <w:rsid w:val="002C3AFD"/>
    <w:rsid w:val="00336602"/>
    <w:rsid w:val="00347009"/>
    <w:rsid w:val="003747C0"/>
    <w:rsid w:val="00381948"/>
    <w:rsid w:val="003928EF"/>
    <w:rsid w:val="00397D16"/>
    <w:rsid w:val="003B1676"/>
    <w:rsid w:val="003B6612"/>
    <w:rsid w:val="003E32DA"/>
    <w:rsid w:val="003E35AF"/>
    <w:rsid w:val="003E49C3"/>
    <w:rsid w:val="003F407D"/>
    <w:rsid w:val="0040597C"/>
    <w:rsid w:val="00417B6D"/>
    <w:rsid w:val="00423E44"/>
    <w:rsid w:val="004511D0"/>
    <w:rsid w:val="00464FAC"/>
    <w:rsid w:val="00472925"/>
    <w:rsid w:val="00497428"/>
    <w:rsid w:val="004A5762"/>
    <w:rsid w:val="004D4018"/>
    <w:rsid w:val="004D424B"/>
    <w:rsid w:val="004E6E80"/>
    <w:rsid w:val="0054572E"/>
    <w:rsid w:val="00555670"/>
    <w:rsid w:val="005827B1"/>
    <w:rsid w:val="005B6138"/>
    <w:rsid w:val="005C0F6B"/>
    <w:rsid w:val="006017C9"/>
    <w:rsid w:val="006258C3"/>
    <w:rsid w:val="00665A7E"/>
    <w:rsid w:val="00680C5C"/>
    <w:rsid w:val="00680CAA"/>
    <w:rsid w:val="00683303"/>
    <w:rsid w:val="006878AF"/>
    <w:rsid w:val="006B1BB7"/>
    <w:rsid w:val="006B4E68"/>
    <w:rsid w:val="006D0C96"/>
    <w:rsid w:val="006D3FED"/>
    <w:rsid w:val="006F10DA"/>
    <w:rsid w:val="00710CE6"/>
    <w:rsid w:val="00807402"/>
    <w:rsid w:val="00851B1E"/>
    <w:rsid w:val="00855131"/>
    <w:rsid w:val="008F3094"/>
    <w:rsid w:val="008F6AD8"/>
    <w:rsid w:val="009427BA"/>
    <w:rsid w:val="00982270"/>
    <w:rsid w:val="009A7B67"/>
    <w:rsid w:val="009D3628"/>
    <w:rsid w:val="009D789D"/>
    <w:rsid w:val="00A03DA9"/>
    <w:rsid w:val="00A10BFC"/>
    <w:rsid w:val="00A44D29"/>
    <w:rsid w:val="00AC4E25"/>
    <w:rsid w:val="00AD0F0D"/>
    <w:rsid w:val="00B01DFD"/>
    <w:rsid w:val="00B11D20"/>
    <w:rsid w:val="00B3494B"/>
    <w:rsid w:val="00B562EE"/>
    <w:rsid w:val="00B9251B"/>
    <w:rsid w:val="00BD66F8"/>
    <w:rsid w:val="00C2433C"/>
    <w:rsid w:val="00C37F88"/>
    <w:rsid w:val="00C817E4"/>
    <w:rsid w:val="00CA09F6"/>
    <w:rsid w:val="00CD597E"/>
    <w:rsid w:val="00CD5A30"/>
    <w:rsid w:val="00CE0216"/>
    <w:rsid w:val="00D00203"/>
    <w:rsid w:val="00D0459D"/>
    <w:rsid w:val="00D33012"/>
    <w:rsid w:val="00D3333E"/>
    <w:rsid w:val="00D33CEE"/>
    <w:rsid w:val="00D65727"/>
    <w:rsid w:val="00D97E76"/>
    <w:rsid w:val="00DA132C"/>
    <w:rsid w:val="00DA378B"/>
    <w:rsid w:val="00DB20DA"/>
    <w:rsid w:val="00DB4093"/>
    <w:rsid w:val="00DD0F96"/>
    <w:rsid w:val="00DD5CA5"/>
    <w:rsid w:val="00E25EB0"/>
    <w:rsid w:val="00E34892"/>
    <w:rsid w:val="00E460EB"/>
    <w:rsid w:val="00E576B1"/>
    <w:rsid w:val="00E7551D"/>
    <w:rsid w:val="00EC187F"/>
    <w:rsid w:val="00EF7555"/>
    <w:rsid w:val="00F266CC"/>
    <w:rsid w:val="00F53C98"/>
    <w:rsid w:val="00F623EB"/>
    <w:rsid w:val="00F64390"/>
    <w:rsid w:val="00F91EE8"/>
    <w:rsid w:val="00FC0819"/>
    <w:rsid w:val="00FC1D29"/>
    <w:rsid w:val="00FD186F"/>
    <w:rsid w:val="00FD621F"/>
    <w:rsid w:val="00FF01E3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7FE7"/>
  <w15:docId w15:val="{65038769-212D-4ABB-B474-5CE041AC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88B"/>
    <w:pPr>
      <w:spacing w:after="160" w:line="259" w:lineRule="auto"/>
    </w:pPr>
    <w:rPr>
      <w:rFonts w:asciiTheme="minorHAnsi" w:hAnsiTheme="minorHAnsi" w:cstheme="minorBidi"/>
      <w:kern w:val="2"/>
      <w:sz w:val="22"/>
      <w:szCs w:val="2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P">
    <w:name w:val="P&amp;P"/>
    <w:uiPriority w:val="99"/>
    <w:rsid w:val="00680C5C"/>
    <w:pPr>
      <w:numPr>
        <w:numId w:val="1"/>
      </w:numPr>
    </w:pPr>
  </w:style>
  <w:style w:type="numbering" w:customStyle="1" w:styleId="PPs">
    <w:name w:val="P&amp;Ps"/>
    <w:uiPriority w:val="99"/>
    <w:rsid w:val="00680C5C"/>
    <w:pPr>
      <w:numPr>
        <w:numId w:val="2"/>
      </w:numPr>
    </w:pPr>
  </w:style>
  <w:style w:type="paragraph" w:customStyle="1" w:styleId="Level1">
    <w:name w:val="Level 1"/>
    <w:basedOn w:val="Normal"/>
    <w:rsid w:val="00FF01E3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" w:eastAsia="Times New Roman" w:hAnsi="Courier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FF01E3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F01E3"/>
    <w:rPr>
      <w:rFonts w:ascii="Courier" w:eastAsia="Times New Roman" w:hAnsi="Courier" w:cs="Times New Roman"/>
    </w:rPr>
  </w:style>
  <w:style w:type="character" w:styleId="PageNumber">
    <w:name w:val="page number"/>
    <w:basedOn w:val="DefaultParagraphFont"/>
    <w:uiPriority w:val="99"/>
    <w:rsid w:val="00FF01E3"/>
  </w:style>
  <w:style w:type="paragraph" w:styleId="Footer">
    <w:name w:val="footer"/>
    <w:basedOn w:val="Normal"/>
    <w:link w:val="FooterChar"/>
    <w:uiPriority w:val="99"/>
    <w:unhideWhenUsed/>
    <w:rsid w:val="00545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72E"/>
    <w:rPr>
      <w:rFonts w:asciiTheme="minorHAnsi" w:hAnsiTheme="minorHAnsi" w:cstheme="minorBidi"/>
      <w:kern w:val="2"/>
      <w:sz w:val="22"/>
      <w:szCs w:val="22"/>
      <w14:ligatures w14:val="standard"/>
    </w:rPr>
  </w:style>
  <w:style w:type="paragraph" w:customStyle="1" w:styleId="1AutoList1">
    <w:name w:val="1AutoList1"/>
    <w:uiPriority w:val="99"/>
    <w:rsid w:val="00050893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720"/>
      <w:jc w:val="both"/>
    </w:pPr>
    <w:rPr>
      <w:rFonts w:ascii="Courier 10cpi" w:eastAsia="Times New Roman" w:hAnsi="Courier 10cpi" w:cs="Times New Roman"/>
    </w:rPr>
  </w:style>
  <w:style w:type="paragraph" w:styleId="ListParagraph">
    <w:name w:val="List Paragraph"/>
    <w:basedOn w:val="Normal"/>
    <w:uiPriority w:val="34"/>
    <w:qFormat/>
    <w:rsid w:val="0005089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A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AFD"/>
    <w:rPr>
      <w:rFonts w:asciiTheme="minorHAnsi" w:hAnsiTheme="minorHAnsi" w:cstheme="minorBidi"/>
      <w:kern w:val="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unhideWhenUsed/>
    <w:rsid w:val="002C3A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3A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3AFD"/>
    <w:rPr>
      <w:rFonts w:asciiTheme="minorHAnsi" w:hAnsiTheme="minorHAnsi" w:cstheme="minorBidi"/>
      <w:kern w:val="2"/>
      <w:sz w:val="20"/>
      <w:szCs w:val="20"/>
      <w14:ligatures w14:val="standard"/>
    </w:rPr>
  </w:style>
  <w:style w:type="character" w:styleId="EndnoteReference">
    <w:name w:val="endnote reference"/>
    <w:basedOn w:val="DefaultParagraphFont"/>
    <w:uiPriority w:val="99"/>
    <w:semiHidden/>
    <w:unhideWhenUsed/>
    <w:rsid w:val="002C3AF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32C"/>
    <w:rPr>
      <w:rFonts w:ascii="Segoe UI" w:hAnsi="Segoe UI" w:cs="Segoe UI"/>
      <w:kern w:val="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53DF5-B974-4D3A-93BA-5143D18A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Hernando County Clerk of Circuit Court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Jenine Wimer</dc:creator>
  <cp:lastModifiedBy>Jeff Gordon</cp:lastModifiedBy>
  <cp:revision>29</cp:revision>
  <cp:lastPrinted>2023-10-20T16:30:00Z</cp:lastPrinted>
  <dcterms:created xsi:type="dcterms:W3CDTF">2024-10-07T14:51:00Z</dcterms:created>
  <dcterms:modified xsi:type="dcterms:W3CDTF">2025-09-25T16:27:00Z</dcterms:modified>
</cp:coreProperties>
</file>